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AC9B" w14:textId="0496A4C4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lang w:val="ru-RU"/>
        </w:rPr>
      </w:pPr>
      <w:r w:rsidRPr="000E0911">
        <w:rPr>
          <w:lang w:val="ru-RU"/>
        </w:rPr>
        <w:t>Справка</w:t>
      </w:r>
    </w:p>
    <w:p w14:paraId="3CC6977E" w14:textId="223BB0DF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ru-RU"/>
        </w:rPr>
      </w:pPr>
      <w:r w:rsidRPr="000E0911">
        <w:rPr>
          <w:lang w:val="ru-RU"/>
        </w:rPr>
        <w:t xml:space="preserve">о соискателе ученого звания </w:t>
      </w:r>
      <w:r w:rsidRPr="000E0911">
        <w:rPr>
          <w:b/>
          <w:bCs/>
          <w:lang w:val="ru-RU"/>
        </w:rPr>
        <w:t>ассоциированного профессора (доцент)</w:t>
      </w:r>
    </w:p>
    <w:p w14:paraId="29AE86E1" w14:textId="77777777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kk-KZ"/>
        </w:rPr>
      </w:pPr>
      <w:r w:rsidRPr="000E0911">
        <w:rPr>
          <w:lang w:val="ru-RU"/>
        </w:rPr>
        <w:t>по специальности</w:t>
      </w:r>
      <w:r w:rsidRPr="000E0911">
        <w:rPr>
          <w:b/>
          <w:bCs/>
          <w:lang w:val="ru-RU"/>
        </w:rPr>
        <w:t xml:space="preserve"> </w:t>
      </w:r>
      <w:r w:rsidRPr="000E0911">
        <w:rPr>
          <w:b/>
          <w:bCs/>
          <w:lang w:val="kk-KZ"/>
        </w:rPr>
        <w:t xml:space="preserve">50200 </w:t>
      </w:r>
      <w:r w:rsidRPr="000E0911">
        <w:rPr>
          <w:b/>
          <w:bCs/>
          <w:lang w:val="ru-RU"/>
        </w:rPr>
        <w:t>– Экономика</w:t>
      </w:r>
      <w:r w:rsidRPr="000E0911">
        <w:rPr>
          <w:b/>
          <w:bCs/>
          <w:lang w:val="kk-KZ"/>
        </w:rPr>
        <w:t xml:space="preserve"> и бизнес</w:t>
      </w:r>
    </w:p>
    <w:p w14:paraId="32E91B0A" w14:textId="77777777" w:rsidR="000E0911" w:rsidRPr="000E0911" w:rsidRDefault="000E0911" w:rsidP="000E0911">
      <w:pPr>
        <w:spacing w:after="0" w:line="240" w:lineRule="auto"/>
        <w:ind w:firstLine="567"/>
        <w:contextualSpacing/>
        <w:jc w:val="center"/>
        <w:rPr>
          <w:b/>
          <w:bCs/>
          <w:lang w:val="ru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"/>
        <w:gridCol w:w="2515"/>
        <w:gridCol w:w="6394"/>
      </w:tblGrid>
      <w:tr w:rsidR="000E0911" w:rsidRPr="00350486" w14:paraId="3E3A3BA5" w14:textId="77777777" w:rsidTr="000E0911">
        <w:trPr>
          <w:trHeight w:val="30"/>
        </w:trPr>
        <w:tc>
          <w:tcPr>
            <w:tcW w:w="436" w:type="dxa"/>
          </w:tcPr>
          <w:p w14:paraId="226DC869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</w:t>
            </w:r>
          </w:p>
        </w:tc>
        <w:tc>
          <w:tcPr>
            <w:tcW w:w="2515" w:type="dxa"/>
          </w:tcPr>
          <w:p w14:paraId="68AE2C39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6394" w:type="dxa"/>
          </w:tcPr>
          <w:p w14:paraId="7CE37CDE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Бектурганова Макпал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Саттикуловна</w:t>
            </w:r>
            <w:proofErr w:type="spellEnd"/>
          </w:p>
        </w:tc>
      </w:tr>
      <w:tr w:rsidR="000E0911" w:rsidRPr="00D91641" w14:paraId="11DBD02D" w14:textId="77777777" w:rsidTr="000E0911">
        <w:trPr>
          <w:trHeight w:val="30"/>
        </w:trPr>
        <w:tc>
          <w:tcPr>
            <w:tcW w:w="436" w:type="dxa"/>
          </w:tcPr>
          <w:p w14:paraId="5B0F117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2</w:t>
            </w:r>
          </w:p>
        </w:tc>
        <w:tc>
          <w:tcPr>
            <w:tcW w:w="2515" w:type="dxa"/>
          </w:tcPr>
          <w:p w14:paraId="6C1DEAFA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Ученая степень (кандидата наук, доктора наук,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профилю) или академическая степень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 или степень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), доктора по профилю, дата присуждения</w:t>
            </w:r>
          </w:p>
        </w:tc>
        <w:tc>
          <w:tcPr>
            <w:tcW w:w="6394" w:type="dxa"/>
          </w:tcPr>
          <w:p w14:paraId="52CC767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На основании решения Диссертационного совета Казахского национального университета имени аль-Фараби по специальности 6</w:t>
            </w:r>
            <w:r w:rsidRPr="00350486">
              <w:rPr>
                <w:sz w:val="20"/>
                <w:szCs w:val="20"/>
              </w:rPr>
              <w:t>D</w:t>
            </w:r>
            <w:r w:rsidRPr="00350486">
              <w:rPr>
                <w:sz w:val="20"/>
                <w:szCs w:val="20"/>
                <w:lang w:val="ru-RU"/>
              </w:rPr>
              <w:t>050600 – «Экономика» о присуждении степени доктора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 xml:space="preserve">), а также приказа Ректора от 3 июня 2020 года №4-1891, выдан диплом </w:t>
            </w:r>
            <w:r w:rsidRPr="00350486">
              <w:rPr>
                <w:sz w:val="20"/>
                <w:szCs w:val="20"/>
              </w:rPr>
              <w:t>AFU</w:t>
            </w:r>
            <w:r w:rsidRPr="00350486">
              <w:rPr>
                <w:sz w:val="20"/>
                <w:szCs w:val="20"/>
                <w:lang w:val="ru-RU"/>
              </w:rPr>
              <w:t xml:space="preserve"> №0000104</w:t>
            </w:r>
          </w:p>
          <w:p w14:paraId="08E9F15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br/>
            </w:r>
          </w:p>
        </w:tc>
      </w:tr>
      <w:tr w:rsidR="000E0911" w:rsidRPr="00350486" w14:paraId="7BE2777C" w14:textId="77777777" w:rsidTr="000E0911">
        <w:trPr>
          <w:trHeight w:val="30"/>
        </w:trPr>
        <w:tc>
          <w:tcPr>
            <w:tcW w:w="436" w:type="dxa"/>
          </w:tcPr>
          <w:p w14:paraId="38CE0BB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3</w:t>
            </w:r>
          </w:p>
        </w:tc>
        <w:tc>
          <w:tcPr>
            <w:tcW w:w="2515" w:type="dxa"/>
          </w:tcPr>
          <w:p w14:paraId="53A43C41" w14:textId="77777777" w:rsidR="000E0911" w:rsidRPr="00350486" w:rsidRDefault="000E0911" w:rsidP="00203A8F">
            <w:pPr>
              <w:spacing w:after="20"/>
              <w:ind w:left="20"/>
              <w:jc w:val="both"/>
            </w:pPr>
            <w:proofErr w:type="spellStart"/>
            <w:r w:rsidRPr="00350486">
              <w:rPr>
                <w:sz w:val="20"/>
              </w:rPr>
              <w:t>Ученое</w:t>
            </w:r>
            <w:proofErr w:type="spellEnd"/>
            <w:r w:rsidRPr="00350486">
              <w:rPr>
                <w:sz w:val="20"/>
              </w:rPr>
              <w:t xml:space="preserve"> </w:t>
            </w:r>
            <w:proofErr w:type="spellStart"/>
            <w:r w:rsidRPr="00350486">
              <w:rPr>
                <w:sz w:val="20"/>
              </w:rPr>
              <w:t>звание</w:t>
            </w:r>
            <w:proofErr w:type="spellEnd"/>
            <w:r w:rsidRPr="00350486">
              <w:rPr>
                <w:sz w:val="20"/>
              </w:rPr>
              <w:t xml:space="preserve">, </w:t>
            </w:r>
            <w:proofErr w:type="spellStart"/>
            <w:r w:rsidRPr="00350486">
              <w:rPr>
                <w:sz w:val="20"/>
              </w:rPr>
              <w:t>дата</w:t>
            </w:r>
            <w:proofErr w:type="spellEnd"/>
            <w:r w:rsidRPr="00350486">
              <w:rPr>
                <w:sz w:val="20"/>
              </w:rPr>
              <w:t xml:space="preserve"> </w:t>
            </w:r>
            <w:proofErr w:type="spellStart"/>
            <w:r w:rsidRPr="00350486">
              <w:rPr>
                <w:sz w:val="20"/>
              </w:rPr>
              <w:t>присуждения</w:t>
            </w:r>
            <w:proofErr w:type="spellEnd"/>
          </w:p>
        </w:tc>
        <w:tc>
          <w:tcPr>
            <w:tcW w:w="6394" w:type="dxa"/>
          </w:tcPr>
          <w:p w14:paraId="5EA85C1C" w14:textId="77777777" w:rsidR="000E0911" w:rsidRPr="00350486" w:rsidRDefault="000E0911" w:rsidP="00203A8F">
            <w:pPr>
              <w:spacing w:after="0"/>
              <w:jc w:val="both"/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350486" w14:paraId="6C420474" w14:textId="77777777" w:rsidTr="000E0911">
        <w:trPr>
          <w:trHeight w:val="30"/>
        </w:trPr>
        <w:tc>
          <w:tcPr>
            <w:tcW w:w="436" w:type="dxa"/>
          </w:tcPr>
          <w:p w14:paraId="3A0EBDAB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4</w:t>
            </w:r>
          </w:p>
        </w:tc>
        <w:tc>
          <w:tcPr>
            <w:tcW w:w="2515" w:type="dxa"/>
          </w:tcPr>
          <w:p w14:paraId="628F1911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50486">
              <w:rPr>
                <w:sz w:val="20"/>
                <w:szCs w:val="20"/>
              </w:rPr>
              <w:t>Почетное</w:t>
            </w:r>
            <w:proofErr w:type="spellEnd"/>
            <w:r w:rsidRPr="00350486">
              <w:rPr>
                <w:sz w:val="20"/>
                <w:szCs w:val="20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</w:rPr>
              <w:t>звание</w:t>
            </w:r>
            <w:proofErr w:type="spellEnd"/>
            <w:r w:rsidRPr="00350486">
              <w:rPr>
                <w:sz w:val="20"/>
                <w:szCs w:val="20"/>
              </w:rPr>
              <w:t xml:space="preserve">, </w:t>
            </w:r>
            <w:proofErr w:type="spellStart"/>
            <w:r w:rsidRPr="00350486">
              <w:rPr>
                <w:sz w:val="20"/>
                <w:szCs w:val="20"/>
              </w:rPr>
              <w:t>дата</w:t>
            </w:r>
            <w:proofErr w:type="spellEnd"/>
            <w:r w:rsidRPr="00350486">
              <w:rPr>
                <w:sz w:val="20"/>
                <w:szCs w:val="20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</w:rPr>
              <w:t>присуждения</w:t>
            </w:r>
            <w:proofErr w:type="spellEnd"/>
          </w:p>
        </w:tc>
        <w:tc>
          <w:tcPr>
            <w:tcW w:w="6394" w:type="dxa"/>
          </w:tcPr>
          <w:p w14:paraId="26C19A1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D91641" w14:paraId="112ED3D3" w14:textId="77777777" w:rsidTr="000E0911">
        <w:trPr>
          <w:trHeight w:val="30"/>
        </w:trPr>
        <w:tc>
          <w:tcPr>
            <w:tcW w:w="436" w:type="dxa"/>
          </w:tcPr>
          <w:p w14:paraId="3BB1BFA4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5</w:t>
            </w:r>
          </w:p>
        </w:tc>
        <w:tc>
          <w:tcPr>
            <w:tcW w:w="2515" w:type="dxa"/>
          </w:tcPr>
          <w:p w14:paraId="2D11C6D4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394" w:type="dxa"/>
          </w:tcPr>
          <w:p w14:paraId="1E057B1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1) Заведующая отделом глобализации и международного сотрудничества Института экономики Комитета науки Министерства науки и высшего образования Республики Казахстан – приказ №13/п от 09.04.2021 г.</w:t>
            </w:r>
          </w:p>
          <w:p w14:paraId="53503DE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 Ведущий научный сотрудник Института экономики Комитета науки Министерства науки и высшего образования Республики Казахстан – приказ №22/2-с от 23.06.2021 г.</w:t>
            </w:r>
          </w:p>
          <w:p w14:paraId="4862CBB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kk-KZ"/>
              </w:rPr>
              <w:t xml:space="preserve">3) Заведующая отделом региональной экономики </w:t>
            </w:r>
            <w:r w:rsidRPr="00350486">
              <w:rPr>
                <w:sz w:val="20"/>
                <w:szCs w:val="20"/>
                <w:lang w:val="ru-RU"/>
              </w:rPr>
              <w:t>Института экономики Комитета науки Министерства науки и высшего образования Республики Казахстан – приказ №19/</w:t>
            </w:r>
            <w:r w:rsidRPr="00350486">
              <w:rPr>
                <w:sz w:val="20"/>
                <w:szCs w:val="20"/>
                <w:lang w:val="kk-KZ"/>
              </w:rPr>
              <w:t xml:space="preserve">ө от </w:t>
            </w:r>
            <w:r w:rsidRPr="00350486">
              <w:rPr>
                <w:sz w:val="20"/>
                <w:szCs w:val="20"/>
                <w:lang w:val="ru-RU"/>
              </w:rPr>
              <w:t>03.03.2026 г.</w:t>
            </w:r>
          </w:p>
        </w:tc>
      </w:tr>
      <w:tr w:rsidR="000E0911" w:rsidRPr="00D91641" w14:paraId="09D93999" w14:textId="77777777" w:rsidTr="000E0911">
        <w:trPr>
          <w:trHeight w:val="30"/>
        </w:trPr>
        <w:tc>
          <w:tcPr>
            <w:tcW w:w="436" w:type="dxa"/>
          </w:tcPr>
          <w:p w14:paraId="4C81080A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6</w:t>
            </w:r>
          </w:p>
        </w:tc>
        <w:tc>
          <w:tcPr>
            <w:tcW w:w="2515" w:type="dxa"/>
          </w:tcPr>
          <w:p w14:paraId="0D1E3EED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394" w:type="dxa"/>
          </w:tcPr>
          <w:p w14:paraId="5C60D506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Всего 10 лет 3 месяца, в том числе в должности ведущего научного сотрудника 4 года 8 месяцев.</w:t>
            </w:r>
          </w:p>
        </w:tc>
      </w:tr>
      <w:tr w:rsidR="000E0911" w:rsidRPr="00D91641" w14:paraId="201817AF" w14:textId="77777777" w:rsidTr="000E0911">
        <w:trPr>
          <w:trHeight w:val="30"/>
        </w:trPr>
        <w:tc>
          <w:tcPr>
            <w:tcW w:w="436" w:type="dxa"/>
          </w:tcPr>
          <w:p w14:paraId="6D836411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7</w:t>
            </w:r>
          </w:p>
        </w:tc>
        <w:tc>
          <w:tcPr>
            <w:tcW w:w="2515" w:type="dxa"/>
          </w:tcPr>
          <w:p w14:paraId="64A2D6EF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394" w:type="dxa"/>
          </w:tcPr>
          <w:p w14:paraId="561C8B47" w14:textId="4760DD0D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Всего 31 </w:t>
            </w:r>
            <w:r w:rsidRPr="00350486">
              <w:rPr>
                <w:sz w:val="20"/>
                <w:szCs w:val="20"/>
                <w:lang w:val="kk-KZ"/>
              </w:rPr>
              <w:t xml:space="preserve">научных </w:t>
            </w:r>
            <w:r w:rsidRPr="00350486">
              <w:rPr>
                <w:sz w:val="20"/>
                <w:szCs w:val="20"/>
                <w:lang w:val="ru-RU"/>
              </w:rPr>
              <w:t xml:space="preserve">статей, в научных изданиях, входящих в перечень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– 10 научных статей, в научных журналах, индексируемых в международной наукометрической базе данных </w:t>
            </w:r>
            <w:r w:rsidRPr="00350486">
              <w:rPr>
                <w:sz w:val="20"/>
                <w:szCs w:val="20"/>
              </w:rPr>
              <w:t>Scopus</w:t>
            </w:r>
            <w:r w:rsidRPr="00350486">
              <w:rPr>
                <w:sz w:val="20"/>
                <w:szCs w:val="20"/>
                <w:lang w:val="ru-RU"/>
              </w:rPr>
              <w:t xml:space="preserve"> (Скопус) </w:t>
            </w:r>
            <w:r>
              <w:rPr>
                <w:sz w:val="20"/>
                <w:szCs w:val="20"/>
                <w:lang w:val="ru-RU"/>
              </w:rPr>
              <w:t>-</w:t>
            </w:r>
            <w:r w:rsidRPr="00350486">
              <w:rPr>
                <w:sz w:val="20"/>
                <w:szCs w:val="20"/>
                <w:lang w:val="ru-RU"/>
              </w:rPr>
              <w:t xml:space="preserve"> 5 научных статей.</w:t>
            </w:r>
          </w:p>
        </w:tc>
      </w:tr>
      <w:tr w:rsidR="000E0911" w:rsidRPr="00350486" w14:paraId="33DB4BD3" w14:textId="77777777" w:rsidTr="000E0911">
        <w:trPr>
          <w:trHeight w:val="30"/>
        </w:trPr>
        <w:tc>
          <w:tcPr>
            <w:tcW w:w="436" w:type="dxa"/>
          </w:tcPr>
          <w:p w14:paraId="575155D6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8</w:t>
            </w:r>
          </w:p>
        </w:tc>
        <w:tc>
          <w:tcPr>
            <w:tcW w:w="2515" w:type="dxa"/>
          </w:tcPr>
          <w:p w14:paraId="6656D499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394" w:type="dxa"/>
          </w:tcPr>
          <w:p w14:paraId="2C26D3F7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 учебно-методический комплекс (курс лекции, в соавторстве);</w:t>
            </w:r>
          </w:p>
          <w:p w14:paraId="689E712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 коллективная научная работа (в соавторстве);</w:t>
            </w:r>
          </w:p>
          <w:p w14:paraId="2168283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</w:rPr>
              <w:t xml:space="preserve">1 </w:t>
            </w:r>
            <w:proofErr w:type="spellStart"/>
            <w:r w:rsidRPr="00350486">
              <w:rPr>
                <w:sz w:val="20"/>
                <w:szCs w:val="20"/>
              </w:rPr>
              <w:t>монография</w:t>
            </w:r>
            <w:proofErr w:type="spellEnd"/>
            <w:r w:rsidRPr="00350486">
              <w:rPr>
                <w:sz w:val="20"/>
                <w:szCs w:val="20"/>
              </w:rPr>
              <w:t xml:space="preserve"> (в </w:t>
            </w:r>
            <w:proofErr w:type="spellStart"/>
            <w:r w:rsidRPr="00350486">
              <w:rPr>
                <w:sz w:val="20"/>
                <w:szCs w:val="20"/>
              </w:rPr>
              <w:t>соавторстве</w:t>
            </w:r>
            <w:proofErr w:type="spellEnd"/>
            <w:r w:rsidRPr="00350486">
              <w:rPr>
                <w:sz w:val="20"/>
                <w:szCs w:val="20"/>
              </w:rPr>
              <w:t>)</w:t>
            </w:r>
            <w:r w:rsidRPr="00350486">
              <w:rPr>
                <w:sz w:val="20"/>
                <w:szCs w:val="20"/>
                <w:lang w:val="ru-RU"/>
              </w:rPr>
              <w:t>.</w:t>
            </w:r>
          </w:p>
        </w:tc>
      </w:tr>
      <w:tr w:rsidR="000E0911" w:rsidRPr="00D91641" w14:paraId="60E0327F" w14:textId="77777777" w:rsidTr="000E0911">
        <w:trPr>
          <w:trHeight w:val="30"/>
        </w:trPr>
        <w:tc>
          <w:tcPr>
            <w:tcW w:w="436" w:type="dxa"/>
          </w:tcPr>
          <w:p w14:paraId="7EF8BDEF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9</w:t>
            </w:r>
          </w:p>
        </w:tc>
        <w:tc>
          <w:tcPr>
            <w:tcW w:w="2515" w:type="dxa"/>
          </w:tcPr>
          <w:p w14:paraId="279B6353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lang w:val="ru-RU"/>
              </w:rPr>
            </w:pPr>
            <w:r w:rsidRPr="00350486">
              <w:rPr>
                <w:sz w:val="2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 xml:space="preserve">), доктора по </w:t>
            </w:r>
            <w:r w:rsidRPr="00350486">
              <w:rPr>
                <w:sz w:val="20"/>
                <w:lang w:val="ru-RU"/>
              </w:rPr>
              <w:lastRenderedPageBreak/>
              <w:t>профилю) или академическая степень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>), доктора по профилю или степень доктора философии (</w:t>
            </w:r>
            <w:r w:rsidRPr="00350486">
              <w:rPr>
                <w:sz w:val="20"/>
              </w:rPr>
              <w:t>PhD</w:t>
            </w:r>
            <w:r w:rsidRPr="00350486">
              <w:rPr>
                <w:sz w:val="20"/>
                <w:lang w:val="ru-RU"/>
              </w:rPr>
              <w:t>), доктора по профилю</w:t>
            </w:r>
          </w:p>
        </w:tc>
        <w:tc>
          <w:tcPr>
            <w:tcW w:w="6394" w:type="dxa"/>
          </w:tcPr>
          <w:p w14:paraId="0F3E3767" w14:textId="6A0D1C14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50486">
              <w:rPr>
                <w:sz w:val="20"/>
                <w:szCs w:val="20"/>
                <w:lang w:val="ru-RU"/>
              </w:rPr>
              <w:lastRenderedPageBreak/>
              <w:t>Сейткан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  <w:lang w:val="kk-KZ"/>
              </w:rPr>
              <w:t>Ғ</w:t>
            </w:r>
            <w:r w:rsidRPr="00350486">
              <w:rPr>
                <w:sz w:val="20"/>
                <w:szCs w:val="20"/>
                <w:lang w:val="ru-RU"/>
              </w:rPr>
              <w:t xml:space="preserve">алия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Ғазизкызы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— доктор философии (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) по специальности 8</w:t>
            </w:r>
            <w:r w:rsidRPr="00350486">
              <w:rPr>
                <w:sz w:val="20"/>
                <w:szCs w:val="20"/>
              </w:rPr>
              <w:t>D</w:t>
            </w:r>
            <w:r w:rsidRPr="00350486">
              <w:rPr>
                <w:sz w:val="20"/>
                <w:szCs w:val="20"/>
                <w:lang w:val="ru-RU"/>
              </w:rPr>
              <w:t xml:space="preserve">04105 - Инновационный менеджмент, на основании приказа от 3 ноября 2025 года №5618-б/а, диплом </w:t>
            </w:r>
            <w:r w:rsidRPr="00350486">
              <w:rPr>
                <w:sz w:val="20"/>
                <w:szCs w:val="20"/>
              </w:rPr>
              <w:t>PhD</w:t>
            </w:r>
            <w:r w:rsidRPr="00350486">
              <w:rPr>
                <w:sz w:val="20"/>
                <w:szCs w:val="20"/>
                <w:lang w:val="ru-RU"/>
              </w:rPr>
              <w:t>00032504925.</w:t>
            </w:r>
            <w:r w:rsidRPr="00350486">
              <w:rPr>
                <w:sz w:val="20"/>
                <w:szCs w:val="20"/>
                <w:lang w:val="kk-KZ"/>
              </w:rPr>
              <w:t xml:space="preserve"> </w:t>
            </w:r>
            <w:r w:rsidRPr="00350486">
              <w:rPr>
                <w:sz w:val="20"/>
                <w:szCs w:val="20"/>
                <w:lang w:val="ru-RU"/>
              </w:rPr>
              <w:br/>
            </w:r>
          </w:p>
        </w:tc>
      </w:tr>
      <w:tr w:rsidR="000E0911" w:rsidRPr="00350486" w14:paraId="293B3421" w14:textId="77777777" w:rsidTr="000E0911">
        <w:trPr>
          <w:trHeight w:val="30"/>
        </w:trPr>
        <w:tc>
          <w:tcPr>
            <w:tcW w:w="436" w:type="dxa"/>
          </w:tcPr>
          <w:p w14:paraId="13FE284D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10</w:t>
            </w:r>
          </w:p>
        </w:tc>
        <w:tc>
          <w:tcPr>
            <w:tcW w:w="2515" w:type="dxa"/>
          </w:tcPr>
          <w:p w14:paraId="185CD69C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394" w:type="dxa"/>
          </w:tcPr>
          <w:p w14:paraId="3CA1E0D6" w14:textId="77777777" w:rsidR="000E0911" w:rsidRPr="000E0911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kk-KZ"/>
              </w:rPr>
              <w:t>Нет</w:t>
            </w:r>
          </w:p>
        </w:tc>
      </w:tr>
      <w:tr w:rsidR="000E0911" w:rsidRPr="00350486" w14:paraId="3F9EA3EC" w14:textId="77777777" w:rsidTr="000E0911">
        <w:trPr>
          <w:trHeight w:val="30"/>
        </w:trPr>
        <w:tc>
          <w:tcPr>
            <w:tcW w:w="436" w:type="dxa"/>
          </w:tcPr>
          <w:p w14:paraId="5F4BAD47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11</w:t>
            </w:r>
          </w:p>
        </w:tc>
        <w:tc>
          <w:tcPr>
            <w:tcW w:w="2515" w:type="dxa"/>
          </w:tcPr>
          <w:p w14:paraId="75436E15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394" w:type="dxa"/>
          </w:tcPr>
          <w:p w14:paraId="36E30E0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0E0911" w:rsidRPr="00350486" w14:paraId="621C1571" w14:textId="77777777" w:rsidTr="000E0911">
        <w:trPr>
          <w:trHeight w:val="30"/>
        </w:trPr>
        <w:tc>
          <w:tcPr>
            <w:tcW w:w="436" w:type="dxa"/>
          </w:tcPr>
          <w:p w14:paraId="44036C1A" w14:textId="77777777" w:rsidR="000E0911" w:rsidRPr="00350486" w:rsidRDefault="000E0911" w:rsidP="00203A8F">
            <w:pPr>
              <w:spacing w:after="20"/>
              <w:ind w:left="20"/>
              <w:jc w:val="both"/>
            </w:pPr>
            <w:r w:rsidRPr="00350486">
              <w:rPr>
                <w:sz w:val="20"/>
              </w:rPr>
              <w:t>12</w:t>
            </w:r>
          </w:p>
        </w:tc>
        <w:tc>
          <w:tcPr>
            <w:tcW w:w="2515" w:type="dxa"/>
          </w:tcPr>
          <w:p w14:paraId="5256F357" w14:textId="77777777" w:rsidR="000E0911" w:rsidRPr="00350486" w:rsidRDefault="000E0911" w:rsidP="00203A8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50486">
              <w:rPr>
                <w:sz w:val="20"/>
                <w:szCs w:val="20"/>
              </w:rPr>
              <w:t>Дополнительная</w:t>
            </w:r>
            <w:proofErr w:type="spellEnd"/>
            <w:r w:rsidRPr="00350486">
              <w:rPr>
                <w:sz w:val="20"/>
                <w:szCs w:val="20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6394" w:type="dxa"/>
          </w:tcPr>
          <w:p w14:paraId="6CC23EE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 xml:space="preserve">1) Scopus Author ID: 57204162579, h-index-5 </w:t>
            </w:r>
            <w:hyperlink r:id="rId4" w:history="1">
              <w:r w:rsidRPr="00350486">
                <w:rPr>
                  <w:rStyle w:val="ac"/>
                  <w:color w:val="auto"/>
                  <w:sz w:val="20"/>
                  <w:szCs w:val="20"/>
                </w:rPr>
                <w:t>https://www.scopus.com/authid/detail.uri?authorId=57204162579</w:t>
              </w:r>
            </w:hyperlink>
            <w:r w:rsidRPr="00350486">
              <w:rPr>
                <w:sz w:val="20"/>
                <w:szCs w:val="20"/>
              </w:rPr>
              <w:t xml:space="preserve">; </w:t>
            </w:r>
          </w:p>
          <w:p w14:paraId="72F3E5C7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</w:rPr>
            </w:pPr>
            <w:r w:rsidRPr="00350486">
              <w:rPr>
                <w:sz w:val="20"/>
                <w:szCs w:val="20"/>
              </w:rPr>
              <w:t xml:space="preserve">Web of Science Researcher ID: AAQ-2815-2020, h-index- 1, </w:t>
            </w:r>
            <w:hyperlink r:id="rId5" w:history="1">
              <w:r w:rsidRPr="00350486">
                <w:rPr>
                  <w:rStyle w:val="ac"/>
                  <w:color w:val="auto"/>
                  <w:sz w:val="20"/>
                  <w:szCs w:val="20"/>
                </w:rPr>
                <w:t>https://www.webofscience.com/wos/author/record/AAQ-2815-2020</w:t>
              </w:r>
            </w:hyperlink>
            <w:r w:rsidRPr="00350486">
              <w:rPr>
                <w:sz w:val="20"/>
                <w:szCs w:val="20"/>
              </w:rPr>
              <w:t>;</w:t>
            </w:r>
          </w:p>
          <w:p w14:paraId="11C2F69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ORCID: 0000-0003-1708-8208.</w:t>
            </w:r>
          </w:p>
          <w:p w14:paraId="7F7B872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40FBC94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 Награждена Благодарственными письмами (2022 г.) и Почетной грамотой (2023 г.) Министерства науки и высшего образования Республики Казахстан.</w:t>
            </w:r>
          </w:p>
          <w:p w14:paraId="16650C4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3D939EDC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3) Является членом Ученого совета Института экономики (с 2021 года по настоящее время), председателем Совета молодых ученых Института экономики (с 2022 года по настоящее время).</w:t>
            </w:r>
          </w:p>
          <w:p w14:paraId="63422CD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7CBE586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4) Является ученым секретарем диссертационного совета при Университете международного бизнеса имени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Кенжегали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Сагадиева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(с 2023 года по настоящее время), а также входит в его постоянный состав. </w:t>
            </w:r>
          </w:p>
          <w:p w14:paraId="2D51E7F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3A3BECE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5)</w:t>
            </w:r>
            <w:r w:rsidRPr="00350486">
              <w:rPr>
                <w:lang w:val="ru-RU"/>
              </w:rPr>
              <w:t xml:space="preserve"> </w:t>
            </w:r>
            <w:r w:rsidRPr="00350486">
              <w:rPr>
                <w:sz w:val="20"/>
                <w:szCs w:val="20"/>
                <w:lang w:val="ru-RU"/>
              </w:rPr>
              <w:t>Руководитель научных проектов:</w:t>
            </w:r>
          </w:p>
          <w:p w14:paraId="27FB55E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1. ГФ молодых ученых по научным и (или) научно-техническим проектам на 2023-2025 годы (МНВО РК) AP19576071 «Исследование влияния экономических, социальных и экологических факторов на взаимосвязь между урбанизацией и выбросами парниковых газов».</w:t>
            </w:r>
          </w:p>
          <w:p w14:paraId="701B0A14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585EA3F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6) Руководитель заданий и исполнитель по научным проектам в рамках целевого финансирования:</w:t>
            </w:r>
          </w:p>
          <w:p w14:paraId="41C4260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1.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05236639 «Приоритеты, механизмы, модели, сценарии технологической модернизации и прогнозы развития экономики Казахстана в условиях Индустрии 4.0; разработка и внедрение новых информационных ресурсов» (2018-2020 гг.) – исполнитель;</w:t>
            </w:r>
          </w:p>
          <w:p w14:paraId="1CF2927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lastRenderedPageBreak/>
              <w:t xml:space="preserve">2.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OR</w:t>
            </w:r>
            <w:r w:rsidRPr="00350486">
              <w:rPr>
                <w:sz w:val="20"/>
                <w:szCs w:val="20"/>
                <w:lang w:val="ru-RU"/>
              </w:rPr>
              <w:t>11465433 «Разработка концепции и механизмов сбалансированного территориального развития экономики и общества Казахстана», Подпрограмма 2 – Разработка концепции и карты действительного размещения населения по регионам Казахстана и механизмов её реализации (2021–2023 гг.) – ответственный исполнитель;</w:t>
            </w:r>
          </w:p>
          <w:p w14:paraId="20EA79A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3. 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Программно-целевое финансирование научной программы ИРН BR10965247 «Исследование факторов, особенностей и динамики демографических процессов, миграции, урбанизации в Казахстане, разработка цифровых карт и прогнозов» 2021–2023 гг.) – ответственный за базу данных, исполнитель; </w:t>
            </w:r>
          </w:p>
          <w:p w14:paraId="5E492CD8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4.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21882122 «Устойчивое развитие природно-хозяйственных и социально-экономических систем Западно-Казахстанского региона в контексте зеленого роста: концепция, прогнозные оценки и сценарии» (2023–2025 гг.) – исполнитель;</w:t>
            </w:r>
          </w:p>
          <w:p w14:paraId="384A310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5.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>18574240 «Стратегия развития регионального потенциала Казахстана: оценка потенциалов, разработка дорожной карты и сценариев развития» (2024–2026 гг.) – исполнитель;</w:t>
            </w:r>
          </w:p>
          <w:p w14:paraId="1147121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6. Программно-целевое финансирование научной программы ИРН </w:t>
            </w:r>
            <w:r w:rsidRPr="00350486">
              <w:rPr>
                <w:sz w:val="20"/>
                <w:szCs w:val="20"/>
              </w:rPr>
              <w:t>BR</w:t>
            </w:r>
            <w:r w:rsidRPr="00350486">
              <w:rPr>
                <w:sz w:val="20"/>
                <w:szCs w:val="20"/>
                <w:lang w:val="ru-RU"/>
              </w:rPr>
              <w:t xml:space="preserve">24993089 «Стратегия структурно-технологической модернизации базовых отраслей экономики РК с учетом </w:t>
            </w:r>
            <w:r w:rsidRPr="00350486">
              <w:rPr>
                <w:sz w:val="20"/>
                <w:szCs w:val="20"/>
              </w:rPr>
              <w:t>ESG</w:t>
            </w:r>
            <w:r w:rsidRPr="00350486">
              <w:rPr>
                <w:sz w:val="20"/>
                <w:szCs w:val="20"/>
                <w:lang w:val="ru-RU"/>
              </w:rPr>
              <w:t>-подходов: критерии, механизмы и прогнозные сценарии» (2024–2026 гг.) – исполнитель;</w:t>
            </w:r>
          </w:p>
          <w:p w14:paraId="6E8CBEB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287D303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7) Исполнитель научных проектов:</w:t>
            </w:r>
          </w:p>
          <w:p w14:paraId="65AFC7F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kk-KZ"/>
              </w:rPr>
              <w:t xml:space="preserve">1. </w:t>
            </w:r>
            <w:r w:rsidRPr="00350486">
              <w:rPr>
                <w:sz w:val="20"/>
                <w:szCs w:val="20"/>
                <w:lang w:val="ru-RU"/>
              </w:rPr>
              <w:t>Грантовое финансирование проекта фундаментальных исследований «Разработка теоретико-методологических основ низкоуглеродного развития экономики» (2016–2017 гг.) – исполнитель;</w:t>
            </w:r>
          </w:p>
          <w:p w14:paraId="2396E643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2. Грантовое финансирование проекта фундаментальных исследований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05134054 «Вопросы гендерного равенства и расширения прав и возможностей женщин в рамках идеи «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Мәңгілік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Ел» как проекта социального государства Казахстана» (2018–2020 гг.) – исполнитель;</w:t>
            </w:r>
          </w:p>
          <w:p w14:paraId="6F0C4D2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3.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19677212 «Ресурсосбережение как стратегическое направление формирования «зелёной» экономики в нефтегазовом комплексе Казахстана: механизмы реализации» (2023–2025 гг.) – исполнитель;</w:t>
            </w:r>
          </w:p>
          <w:p w14:paraId="45F92045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4.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молодых ученых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19579256 «Механизмы расширения прав и возможностей женщин в научной деятельности в интересах развития инновационной экономики Казахстана» (2023–2025 гг.) – исполнитель;</w:t>
            </w:r>
          </w:p>
          <w:p w14:paraId="0157D302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5.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19680544 «Инновационная инфраструктура Казахстана в условиях цифровизации: оценка состояния и разработка атласа» (2023–2025 гг.) – исполнитель;</w:t>
            </w:r>
          </w:p>
          <w:p w14:paraId="2146A256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6.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Грантовое финансирование молодых ученых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22784063 «Разработка стратегических направлений расширения возможностей и доступа женщин к качественной занятости в Казахстане» (2024–2026 гг.) – исполнитель;</w:t>
            </w:r>
          </w:p>
          <w:p w14:paraId="2DCE6FF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7.</w:t>
            </w:r>
            <w:r w:rsidRPr="00350486">
              <w:rPr>
                <w:sz w:val="20"/>
                <w:szCs w:val="20"/>
                <w:lang w:val="ru-RU"/>
              </w:rPr>
              <w:tab/>
              <w:t>Грантовое финансирование проекта фундаментальных исследований ИРН</w:t>
            </w:r>
            <w:r w:rsidRPr="00350486">
              <w:rPr>
                <w:sz w:val="20"/>
                <w:szCs w:val="20"/>
              </w:rPr>
              <w:t> AP</w:t>
            </w:r>
            <w:r w:rsidRPr="00350486">
              <w:rPr>
                <w:sz w:val="20"/>
                <w:szCs w:val="20"/>
                <w:lang w:val="ru-RU"/>
              </w:rPr>
              <w:t>23488981 «Трансформация трудовых ресурсов Казахстана на фоне технологических вызовов: новое качество, модель, сценарии» ((2024–2026 гг.) – исполнитель;</w:t>
            </w:r>
          </w:p>
          <w:p w14:paraId="63AA614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8.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 xml:space="preserve">26101517 «Устойчивое развитие и проблемы метаболизма в </w:t>
            </w:r>
            <w:r w:rsidRPr="00350486">
              <w:rPr>
                <w:sz w:val="20"/>
                <w:szCs w:val="20"/>
                <w:lang w:val="ru-RU"/>
              </w:rPr>
              <w:lastRenderedPageBreak/>
              <w:t>индустриальных городах Казахстана: оценка и сценарии» (2025–2027 гг.) – исполнитель;</w:t>
            </w:r>
          </w:p>
          <w:p w14:paraId="1A63FE96" w14:textId="77777777" w:rsidR="000E0911" w:rsidRPr="00350486" w:rsidRDefault="000E0911" w:rsidP="00203A8F">
            <w:pPr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 xml:space="preserve">9. Грантовое финансирование проекта фундаментальных исследований ИРН </w:t>
            </w:r>
            <w:r w:rsidRPr="00350486">
              <w:rPr>
                <w:sz w:val="20"/>
                <w:szCs w:val="20"/>
              </w:rPr>
              <w:t>AP</w:t>
            </w:r>
            <w:r w:rsidRPr="00350486">
              <w:rPr>
                <w:sz w:val="20"/>
                <w:szCs w:val="20"/>
                <w:lang w:val="ru-RU"/>
              </w:rPr>
              <w:t>26195827 «Стратегические направления сокращения гендерных разрывов на рынке труда Казахстана и расширения возможностей для женщин в ИКТ-секторе» (2025–2027 гг.) – исполнитель.</w:t>
            </w:r>
          </w:p>
          <w:p w14:paraId="092A8B6D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350486">
              <w:rPr>
                <w:sz w:val="20"/>
                <w:szCs w:val="20"/>
                <w:lang w:val="ru-RU"/>
              </w:rPr>
              <w:t>8) Исполнитель международных проектов:</w:t>
            </w:r>
          </w:p>
          <w:p w14:paraId="40337A49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Научные исследования в программе поддержки молодых ученых Международного фонда «Сорос-Казахстан», направление </w:t>
            </w:r>
            <w:r w:rsidRPr="00350486">
              <w:rPr>
                <w:sz w:val="20"/>
                <w:szCs w:val="20"/>
              </w:rPr>
              <w:t>Gender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Open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Economy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Fellowship</w:t>
            </w:r>
            <w:r w:rsidRPr="00350486">
              <w:rPr>
                <w:sz w:val="20"/>
                <w:szCs w:val="20"/>
                <w:lang w:val="ru-RU"/>
              </w:rPr>
              <w:t xml:space="preserve"> (2019–2020 гг.) – стипендиат;</w:t>
            </w:r>
          </w:p>
          <w:p w14:paraId="11E72A6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2.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Участие в международном проекте </w:t>
            </w:r>
            <w:r w:rsidRPr="00350486">
              <w:rPr>
                <w:sz w:val="20"/>
                <w:szCs w:val="20"/>
              </w:rPr>
              <w:t>CAREC</w:t>
            </w:r>
            <w:r w:rsidRPr="00350486">
              <w:rPr>
                <w:sz w:val="20"/>
                <w:szCs w:val="20"/>
                <w:lang w:val="ru-RU"/>
              </w:rPr>
              <w:t>–</w:t>
            </w:r>
            <w:r w:rsidRPr="00350486">
              <w:rPr>
                <w:sz w:val="20"/>
                <w:szCs w:val="20"/>
              </w:rPr>
              <w:t>CTTN</w:t>
            </w:r>
            <w:r w:rsidRPr="00350486">
              <w:rPr>
                <w:sz w:val="20"/>
                <w:szCs w:val="20"/>
                <w:lang w:val="ru-RU"/>
              </w:rPr>
              <w:t xml:space="preserve"> «</w:t>
            </w:r>
            <w:r w:rsidRPr="00350486">
              <w:rPr>
                <w:sz w:val="20"/>
                <w:szCs w:val="20"/>
              </w:rPr>
              <w:t>COVID</w:t>
            </w:r>
            <w:r w:rsidRPr="00350486">
              <w:rPr>
                <w:sz w:val="20"/>
                <w:szCs w:val="20"/>
                <w:lang w:val="ru-RU"/>
              </w:rPr>
              <w:t>-</w:t>
            </w:r>
            <w:r w:rsidRPr="00350486">
              <w:rPr>
                <w:sz w:val="20"/>
                <w:szCs w:val="20"/>
              </w:rPr>
              <w:t>Induced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Inequalities</w:t>
            </w:r>
            <w:r w:rsidRPr="00350486">
              <w:rPr>
                <w:sz w:val="20"/>
                <w:szCs w:val="20"/>
                <w:lang w:val="ru-RU"/>
              </w:rPr>
              <w:t xml:space="preserve">: </w:t>
            </w:r>
            <w:r w:rsidRPr="00350486">
              <w:rPr>
                <w:sz w:val="20"/>
                <w:szCs w:val="20"/>
              </w:rPr>
              <w:t>Education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Health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Services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Digital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Access</w:t>
            </w:r>
            <w:r w:rsidRPr="00350486">
              <w:rPr>
                <w:sz w:val="20"/>
                <w:szCs w:val="20"/>
                <w:lang w:val="ru-RU"/>
              </w:rPr>
              <w:t xml:space="preserve">, </w:t>
            </w:r>
            <w:r w:rsidRPr="00350486">
              <w:rPr>
                <w:sz w:val="20"/>
                <w:szCs w:val="20"/>
              </w:rPr>
              <w:t>and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Female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Labor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Force</w:t>
            </w:r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r w:rsidRPr="00350486">
              <w:rPr>
                <w:sz w:val="20"/>
                <w:szCs w:val="20"/>
              </w:rPr>
              <w:t>Participation</w:t>
            </w:r>
            <w:r w:rsidRPr="00350486">
              <w:rPr>
                <w:sz w:val="20"/>
                <w:szCs w:val="20"/>
                <w:lang w:val="ru-RU"/>
              </w:rPr>
              <w:t>» на примере стран Азербайджана, Казахстана, Пакистана и Узбекистана (2023 г.) – исполнитель-исследователь.</w:t>
            </w:r>
          </w:p>
          <w:p w14:paraId="6C514EE8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064D16AB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9) Имеет опыт научной экспертизы заявок в рамках конкурсов грантового финансирования научных и (или) научно-технических проектов МНВО РК, конкурса грантового финансирования исследований молодых ученых по проекту «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Жас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ғалым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>», а также конкурса грантового финансирования наиболее перспективных проектов коммерциализации результатов научной и (или) научно-технической деятельности.</w:t>
            </w:r>
          </w:p>
          <w:p w14:paraId="566B3F50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14:paraId="6B68CBC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10) Имеются следующие свидетельства о регистрации объектов авторского права:</w:t>
            </w:r>
          </w:p>
          <w:p w14:paraId="2E5FA5AF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1)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Система визуализации картографических данных с возможностью ввода данных для построения инфографики и обновлением результатов аналитики в режиме реального </w:t>
            </w:r>
            <w:proofErr w:type="gramStart"/>
            <w:r w:rsidRPr="00350486">
              <w:rPr>
                <w:sz w:val="20"/>
                <w:szCs w:val="20"/>
                <w:lang w:val="ru-RU"/>
              </w:rPr>
              <w:t>времени :</w:t>
            </w:r>
            <w:proofErr w:type="gramEnd"/>
            <w:r w:rsidRPr="00350486">
              <w:rPr>
                <w:sz w:val="20"/>
                <w:szCs w:val="20"/>
                <w:lang w:val="ru-RU"/>
              </w:rPr>
              <w:t xml:space="preserve"> Свидетельство о государственной регистрации программы для ЭВМ. Авторы: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Серікбекұлы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Асхат; Альжанова Фарида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Газизовна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Нюсупова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Гульнара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Нурмухамедовна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; Бектурганова Макпал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Саттикуловна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Келинбаева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Роза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Жармухаметовна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>; Земцова Алина Сергеевна. — 2024.</w:t>
            </w:r>
          </w:p>
          <w:p w14:paraId="2663EA31" w14:textId="77777777" w:rsidR="000E0911" w:rsidRPr="00350486" w:rsidRDefault="000E0911" w:rsidP="00203A8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50486">
              <w:rPr>
                <w:sz w:val="20"/>
                <w:szCs w:val="20"/>
                <w:lang w:val="ru-RU"/>
              </w:rPr>
              <w:t>2)</w:t>
            </w:r>
            <w:r w:rsidRPr="00350486">
              <w:rPr>
                <w:sz w:val="20"/>
                <w:szCs w:val="20"/>
                <w:lang w:val="ru-RU"/>
              </w:rPr>
              <w:tab/>
              <w:t xml:space="preserve">Атлас карт рационального расселения населения по регионам Казахстана: Свидетельство о государственной регистрации прав на объект авторского права. Авторы: Бектурганова Макпал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Саттикуловна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Бримбетова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Нурсауле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486">
              <w:rPr>
                <w:sz w:val="20"/>
                <w:szCs w:val="20"/>
                <w:lang w:val="ru-RU"/>
              </w:rPr>
              <w:t>Жанахметовна</w:t>
            </w:r>
            <w:proofErr w:type="spellEnd"/>
            <w:r w:rsidRPr="00350486">
              <w:rPr>
                <w:sz w:val="20"/>
                <w:szCs w:val="20"/>
                <w:lang w:val="ru-RU"/>
              </w:rPr>
              <w:t>. — 2022.</w:t>
            </w:r>
          </w:p>
        </w:tc>
      </w:tr>
    </w:tbl>
    <w:p w14:paraId="2D11E43D" w14:textId="77777777" w:rsidR="000E0911" w:rsidRDefault="000E0911">
      <w:pPr>
        <w:rPr>
          <w:lang w:val="ru-RU"/>
        </w:rPr>
      </w:pPr>
    </w:p>
    <w:p w14:paraId="7E0CBDE5" w14:textId="77777777" w:rsidR="000E0911" w:rsidRPr="000E0911" w:rsidRDefault="000E0911" w:rsidP="000E0911">
      <w:pPr>
        <w:rPr>
          <w:lang w:val="ru-RU"/>
        </w:rPr>
      </w:pPr>
      <w:r w:rsidRPr="000E0911">
        <w:rPr>
          <w:lang w:val="kk-KZ"/>
        </w:rPr>
        <w:t>Г</w:t>
      </w:r>
      <w:proofErr w:type="spellStart"/>
      <w:r w:rsidRPr="000E0911">
        <w:rPr>
          <w:lang w:val="ru-RU"/>
        </w:rPr>
        <w:t>енеральн</w:t>
      </w:r>
      <w:proofErr w:type="spellEnd"/>
      <w:r w:rsidRPr="000E0911">
        <w:rPr>
          <w:lang w:val="kk-KZ"/>
        </w:rPr>
        <w:t>ый</w:t>
      </w:r>
      <w:r w:rsidRPr="000E0911">
        <w:rPr>
          <w:lang w:val="ru-RU"/>
        </w:rPr>
        <w:t xml:space="preserve"> директор </w:t>
      </w:r>
    </w:p>
    <w:p w14:paraId="49DDF167" w14:textId="77777777" w:rsidR="000E0911" w:rsidRPr="000E0911" w:rsidRDefault="000E0911" w:rsidP="000E0911">
      <w:pPr>
        <w:rPr>
          <w:lang w:val="ru-RU"/>
        </w:rPr>
      </w:pPr>
      <w:r w:rsidRPr="000E0911">
        <w:rPr>
          <w:lang w:val="ru-RU"/>
        </w:rPr>
        <w:t>РГП на ПХВ «Институт экономики» КН МНВО РК</w:t>
      </w:r>
    </w:p>
    <w:p w14:paraId="6282D5F5" w14:textId="77777777" w:rsidR="000E0911" w:rsidRPr="000E0911" w:rsidRDefault="000E0911" w:rsidP="000E0911">
      <w:pPr>
        <w:rPr>
          <w:lang w:val="kk-KZ"/>
        </w:rPr>
      </w:pPr>
      <w:r w:rsidRPr="000E0911">
        <w:rPr>
          <w:lang w:val="kk-KZ"/>
        </w:rPr>
        <w:t xml:space="preserve">д.э.н., профессор                                                                                 </w:t>
      </w:r>
      <w:r w:rsidRPr="000E0911">
        <w:rPr>
          <w:lang w:val="ru-RU"/>
        </w:rPr>
        <w:t xml:space="preserve">                                </w:t>
      </w:r>
      <w:r w:rsidRPr="000E0911">
        <w:rPr>
          <w:lang w:val="kk-KZ"/>
        </w:rPr>
        <w:t>Е.Т.Садыков</w:t>
      </w:r>
    </w:p>
    <w:p w14:paraId="2363C76D" w14:textId="77777777" w:rsidR="000E0911" w:rsidRDefault="000E0911">
      <w:pPr>
        <w:rPr>
          <w:lang w:val="kk-KZ"/>
        </w:rPr>
      </w:pPr>
    </w:p>
    <w:p w14:paraId="69B83AC1" w14:textId="77777777" w:rsidR="00D91641" w:rsidRPr="000E0911" w:rsidRDefault="00D91641">
      <w:pPr>
        <w:rPr>
          <w:lang w:val="kk-KZ"/>
        </w:rPr>
      </w:pPr>
    </w:p>
    <w:sectPr w:rsidR="00D91641" w:rsidRPr="000E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8D"/>
    <w:rsid w:val="000646D9"/>
    <w:rsid w:val="00074E40"/>
    <w:rsid w:val="000E0911"/>
    <w:rsid w:val="00146253"/>
    <w:rsid w:val="00165062"/>
    <w:rsid w:val="001670AE"/>
    <w:rsid w:val="001F2883"/>
    <w:rsid w:val="00231909"/>
    <w:rsid w:val="00232437"/>
    <w:rsid w:val="00294E73"/>
    <w:rsid w:val="002F1C90"/>
    <w:rsid w:val="00307EE2"/>
    <w:rsid w:val="003265B2"/>
    <w:rsid w:val="003437AC"/>
    <w:rsid w:val="00350486"/>
    <w:rsid w:val="003651B0"/>
    <w:rsid w:val="003C79C1"/>
    <w:rsid w:val="00450FD3"/>
    <w:rsid w:val="0048218B"/>
    <w:rsid w:val="004A73EB"/>
    <w:rsid w:val="00521907"/>
    <w:rsid w:val="0052362C"/>
    <w:rsid w:val="005D51D6"/>
    <w:rsid w:val="006218CF"/>
    <w:rsid w:val="00622C8F"/>
    <w:rsid w:val="00662487"/>
    <w:rsid w:val="00700130"/>
    <w:rsid w:val="007263F7"/>
    <w:rsid w:val="00761256"/>
    <w:rsid w:val="007763E4"/>
    <w:rsid w:val="007A11BC"/>
    <w:rsid w:val="007D5A8D"/>
    <w:rsid w:val="007E2C5D"/>
    <w:rsid w:val="008064C6"/>
    <w:rsid w:val="00831693"/>
    <w:rsid w:val="008530CE"/>
    <w:rsid w:val="008637C8"/>
    <w:rsid w:val="008A523C"/>
    <w:rsid w:val="00902EAB"/>
    <w:rsid w:val="00912EB4"/>
    <w:rsid w:val="00930606"/>
    <w:rsid w:val="009704FE"/>
    <w:rsid w:val="009A38A2"/>
    <w:rsid w:val="00A06DCD"/>
    <w:rsid w:val="00B21EB3"/>
    <w:rsid w:val="00B24962"/>
    <w:rsid w:val="00B74A7D"/>
    <w:rsid w:val="00B913DD"/>
    <w:rsid w:val="00BD5014"/>
    <w:rsid w:val="00BF1E2C"/>
    <w:rsid w:val="00C65023"/>
    <w:rsid w:val="00C8317A"/>
    <w:rsid w:val="00C87310"/>
    <w:rsid w:val="00C972FB"/>
    <w:rsid w:val="00CA160E"/>
    <w:rsid w:val="00CC2BC5"/>
    <w:rsid w:val="00D12F0E"/>
    <w:rsid w:val="00D44FE1"/>
    <w:rsid w:val="00D91641"/>
    <w:rsid w:val="00DB46E7"/>
    <w:rsid w:val="00DF32F7"/>
    <w:rsid w:val="00E11EDE"/>
    <w:rsid w:val="00E161E1"/>
    <w:rsid w:val="00E56A12"/>
    <w:rsid w:val="00E763C6"/>
    <w:rsid w:val="00E828A4"/>
    <w:rsid w:val="00F10640"/>
    <w:rsid w:val="00F15379"/>
    <w:rsid w:val="00F93CA0"/>
    <w:rsid w:val="00F9543D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14D0"/>
  <w15:chartTrackingRefBased/>
  <w15:docId w15:val="{CC6EC6E8-BBCD-447B-A5A5-D3BFB90C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5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D5A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5A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A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A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A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D5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A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A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A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A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A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A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D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A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D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A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7D5A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A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8">
    <w:name w:val="Intense Emphasis"/>
    <w:basedOn w:val="a0"/>
    <w:uiPriority w:val="21"/>
    <w:qFormat/>
    <w:rsid w:val="007D5A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D5A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A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63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63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62487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0E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bofscience.com/wos/author/record/AAQ-2815-2020" TargetMode="External"/><Relationship Id="rId4" Type="http://schemas.openxmlformats.org/officeDocument/2006/relationships/hyperlink" Target="https://www.scopus.com/authid/detail.uri?authorId=57204162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Бектурганова</dc:creator>
  <cp:keywords/>
  <dc:description/>
  <cp:lastModifiedBy>Экономики Институт</cp:lastModifiedBy>
  <cp:revision>12</cp:revision>
  <cp:lastPrinted>2026-03-30T10:47:00Z</cp:lastPrinted>
  <dcterms:created xsi:type="dcterms:W3CDTF">2026-03-30T09:27:00Z</dcterms:created>
  <dcterms:modified xsi:type="dcterms:W3CDTF">2026-04-01T06:27:00Z</dcterms:modified>
</cp:coreProperties>
</file>